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590"/>
        <w:gridCol w:w="1281"/>
        <w:gridCol w:w="1843"/>
        <w:gridCol w:w="4110"/>
      </w:tblGrid>
      <w:tr w:rsidR="00AC0A62" w:rsidRPr="002074FF" w:rsidTr="00AC0A62">
        <w:trPr>
          <w:trHeight w:val="589"/>
        </w:trPr>
        <w:tc>
          <w:tcPr>
            <w:tcW w:w="3647" w:type="dxa"/>
            <w:gridSpan w:val="2"/>
          </w:tcPr>
          <w:p w:rsidR="00AC0A62" w:rsidRPr="002074FF" w:rsidRDefault="00AC0A62" w:rsidP="00AC0A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УЧЕТНАЯ КАРТОЧКА  ШКОЛЬНОГО МУЗЕЯ</w:t>
            </w:r>
          </w:p>
        </w:tc>
        <w:tc>
          <w:tcPr>
            <w:tcW w:w="7234" w:type="dxa"/>
            <w:gridSpan w:val="3"/>
          </w:tcPr>
          <w:p w:rsidR="00AC0A62" w:rsidRPr="002074FF" w:rsidRDefault="00AC0A62" w:rsidP="00AC0A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Свидетельство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4826 </w:t>
            </w:r>
            <w:r w:rsidRPr="00207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C0A62" w:rsidRPr="002074FF" w:rsidTr="00AC0A62">
        <w:trPr>
          <w:trHeight w:val="518"/>
        </w:trPr>
        <w:tc>
          <w:tcPr>
            <w:tcW w:w="2057" w:type="dxa"/>
          </w:tcPr>
          <w:p w:rsidR="00AC0A62" w:rsidRPr="002074FF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824" w:type="dxa"/>
            <w:gridSpan w:val="4"/>
          </w:tcPr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Школьный музей боевой и трудовой славы </w:t>
            </w:r>
          </w:p>
        </w:tc>
      </w:tr>
      <w:tr w:rsidR="00AC0A62" w:rsidRPr="002074FF" w:rsidTr="00AC0A62">
        <w:trPr>
          <w:trHeight w:val="315"/>
        </w:trPr>
        <w:tc>
          <w:tcPr>
            <w:tcW w:w="2057" w:type="dxa"/>
          </w:tcPr>
          <w:p w:rsidR="00AC0A62" w:rsidRPr="002074FF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sz w:val="28"/>
                <w:szCs w:val="28"/>
              </w:rPr>
              <w:t>Профиль музея</w:t>
            </w:r>
          </w:p>
        </w:tc>
        <w:tc>
          <w:tcPr>
            <w:tcW w:w="8824" w:type="dxa"/>
            <w:gridSpan w:val="4"/>
          </w:tcPr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краеведческий</w:t>
            </w:r>
          </w:p>
        </w:tc>
      </w:tr>
      <w:tr w:rsidR="00AC0A62" w:rsidRPr="002074FF" w:rsidTr="00AC0A62">
        <w:trPr>
          <w:trHeight w:val="889"/>
        </w:trPr>
        <w:tc>
          <w:tcPr>
            <w:tcW w:w="2057" w:type="dxa"/>
          </w:tcPr>
          <w:p w:rsidR="00AC0A62" w:rsidRPr="002074FF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8824" w:type="dxa"/>
            <w:gridSpan w:val="4"/>
          </w:tcPr>
          <w:p w:rsidR="00AC0A62" w:rsidRPr="00AC0A62" w:rsidRDefault="00AC0A62" w:rsidP="00AC0A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Муниципальное казённое общеобразовательное учреждение «</w:t>
            </w:r>
            <w:proofErr w:type="spellStart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Дубовоовражская</w:t>
            </w:r>
            <w:proofErr w:type="spellEnd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 xml:space="preserve"> СШ» </w:t>
            </w:r>
            <w:proofErr w:type="spellStart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Светлоярского</w:t>
            </w:r>
            <w:proofErr w:type="spellEnd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 Волгоградской  области</w:t>
            </w:r>
          </w:p>
          <w:p w:rsidR="00AC0A62" w:rsidRPr="00AC0A62" w:rsidRDefault="00AC0A62" w:rsidP="00AC0A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C0A62" w:rsidRPr="002074FF" w:rsidTr="00AC0A62">
        <w:trPr>
          <w:trHeight w:val="998"/>
        </w:trPr>
        <w:tc>
          <w:tcPr>
            <w:tcW w:w="2057" w:type="dxa"/>
          </w:tcPr>
          <w:p w:rsidR="00AC0A62" w:rsidRPr="002074FF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8824" w:type="dxa"/>
            <w:gridSpan w:val="4"/>
          </w:tcPr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Волгоградская область</w:t>
            </w:r>
          </w:p>
        </w:tc>
      </w:tr>
      <w:tr w:rsidR="00AC0A62" w:rsidRPr="002074FF" w:rsidTr="00AC0A62">
        <w:trPr>
          <w:trHeight w:val="900"/>
        </w:trPr>
        <w:tc>
          <w:tcPr>
            <w:tcW w:w="2057" w:type="dxa"/>
          </w:tcPr>
          <w:p w:rsidR="00AC0A62" w:rsidRPr="002074FF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sz w:val="28"/>
                <w:szCs w:val="28"/>
              </w:rPr>
              <w:t>Адрес (индекс, населенный пункт, ул., д., к.)</w:t>
            </w:r>
          </w:p>
        </w:tc>
        <w:tc>
          <w:tcPr>
            <w:tcW w:w="8824" w:type="dxa"/>
            <w:gridSpan w:val="4"/>
          </w:tcPr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 xml:space="preserve">404175 Волгоградская область, </w:t>
            </w:r>
            <w:proofErr w:type="spellStart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Светлоярский</w:t>
            </w:r>
            <w:proofErr w:type="spellEnd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 xml:space="preserve"> район, село Дубовый Овраг, </w:t>
            </w:r>
            <w:proofErr w:type="spellStart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пл</w:t>
            </w:r>
            <w:proofErr w:type="gramStart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.Х</w:t>
            </w:r>
            <w:proofErr w:type="gramEnd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вастанцева</w:t>
            </w:r>
            <w:proofErr w:type="spellEnd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, д.6а</w:t>
            </w:r>
          </w:p>
        </w:tc>
      </w:tr>
      <w:tr w:rsidR="00AC0A62" w:rsidRPr="002074FF" w:rsidTr="00AC0A62">
        <w:trPr>
          <w:trHeight w:val="600"/>
        </w:trPr>
        <w:tc>
          <w:tcPr>
            <w:tcW w:w="2057" w:type="dxa"/>
          </w:tcPr>
          <w:p w:rsidR="00AC0A62" w:rsidRPr="002074FF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sz w:val="28"/>
                <w:szCs w:val="28"/>
              </w:rPr>
              <w:t>Телефон с кодом города</w:t>
            </w:r>
          </w:p>
        </w:tc>
        <w:tc>
          <w:tcPr>
            <w:tcW w:w="2871" w:type="dxa"/>
            <w:gridSpan w:val="2"/>
          </w:tcPr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884477-6-77-17</w:t>
            </w:r>
          </w:p>
        </w:tc>
        <w:tc>
          <w:tcPr>
            <w:tcW w:w="1843" w:type="dxa"/>
          </w:tcPr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0" w:type="dxa"/>
          </w:tcPr>
          <w:p w:rsidR="00AC0A62" w:rsidRPr="00AC0A62" w:rsidRDefault="00AC0A62" w:rsidP="00AC0A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C0A62" w:rsidRPr="002074FF" w:rsidTr="00AC0A62">
        <w:trPr>
          <w:trHeight w:val="409"/>
        </w:trPr>
        <w:tc>
          <w:tcPr>
            <w:tcW w:w="2057" w:type="dxa"/>
          </w:tcPr>
          <w:p w:rsidR="00AC0A62" w:rsidRPr="002074FF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8824" w:type="dxa"/>
            <w:gridSpan w:val="4"/>
          </w:tcPr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https://dubovrag.volgogradschool.ru/</w:t>
            </w:r>
            <w:bookmarkStart w:id="0" w:name="_GoBack"/>
            <w:bookmarkEnd w:id="0"/>
          </w:p>
        </w:tc>
      </w:tr>
      <w:tr w:rsidR="00AC0A62" w:rsidRPr="002074FF" w:rsidTr="00AC0A62">
        <w:trPr>
          <w:trHeight w:val="563"/>
        </w:trPr>
        <w:tc>
          <w:tcPr>
            <w:tcW w:w="2057" w:type="dxa"/>
          </w:tcPr>
          <w:p w:rsidR="00AC0A62" w:rsidRPr="002074FF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sz w:val="28"/>
                <w:szCs w:val="28"/>
              </w:rPr>
              <w:t>Музейный педагог (Ф.И.О.)</w:t>
            </w:r>
          </w:p>
        </w:tc>
        <w:tc>
          <w:tcPr>
            <w:tcW w:w="8824" w:type="dxa"/>
            <w:gridSpan w:val="4"/>
          </w:tcPr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Бухарева Татьяна Сергеевна</w:t>
            </w:r>
          </w:p>
        </w:tc>
      </w:tr>
      <w:tr w:rsidR="00AC0A62" w:rsidRPr="002074FF" w:rsidTr="00AC0A62">
        <w:trPr>
          <w:trHeight w:val="698"/>
        </w:trPr>
        <w:tc>
          <w:tcPr>
            <w:tcW w:w="2057" w:type="dxa"/>
          </w:tcPr>
          <w:p w:rsidR="00AC0A62" w:rsidRPr="002074FF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sz w:val="28"/>
                <w:szCs w:val="28"/>
              </w:rPr>
              <w:t>Дата открытия музея</w:t>
            </w:r>
          </w:p>
        </w:tc>
        <w:tc>
          <w:tcPr>
            <w:tcW w:w="8824" w:type="dxa"/>
            <w:gridSpan w:val="4"/>
          </w:tcPr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1975</w:t>
            </w:r>
          </w:p>
        </w:tc>
      </w:tr>
      <w:tr w:rsidR="00AC0A62" w:rsidRPr="002074FF" w:rsidTr="00AC0A62">
        <w:trPr>
          <w:trHeight w:val="780"/>
        </w:trPr>
        <w:tc>
          <w:tcPr>
            <w:tcW w:w="2057" w:type="dxa"/>
          </w:tcPr>
          <w:p w:rsidR="00AC0A62" w:rsidRPr="002074FF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</w:t>
            </w:r>
          </w:p>
        </w:tc>
        <w:tc>
          <w:tcPr>
            <w:tcW w:w="8824" w:type="dxa"/>
            <w:gridSpan w:val="4"/>
          </w:tcPr>
          <w:p w:rsidR="00AC0A62" w:rsidRPr="00D42346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A62">
              <w:rPr>
                <w:rFonts w:ascii="Times New Roman" w:hAnsi="Times New Roman" w:cs="Times New Roman"/>
                <w:sz w:val="24"/>
                <w:szCs w:val="24"/>
              </w:rPr>
              <w:t>Имеется отдельное помещение</w:t>
            </w:r>
            <w:proofErr w:type="gramStart"/>
            <w:r w:rsidRPr="00AC0A6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AC0A62">
              <w:rPr>
                <w:rFonts w:ascii="Times New Roman" w:hAnsi="Times New Roman" w:cs="Times New Roman"/>
                <w:sz w:val="24"/>
                <w:szCs w:val="24"/>
              </w:rPr>
              <w:t>музейные витрины, стенды, решётки на окнах, затемнение, металлическая дверь.</w:t>
            </w:r>
          </w:p>
        </w:tc>
      </w:tr>
      <w:tr w:rsidR="00AC0A62" w:rsidRPr="002074FF" w:rsidTr="00AC0A62">
        <w:trPr>
          <w:trHeight w:val="630"/>
        </w:trPr>
        <w:tc>
          <w:tcPr>
            <w:tcW w:w="2057" w:type="dxa"/>
          </w:tcPr>
          <w:p w:rsidR="00AC0A62" w:rsidRPr="002074FF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sz w:val="28"/>
                <w:szCs w:val="28"/>
              </w:rPr>
              <w:t>Разделы экспозиций</w:t>
            </w:r>
          </w:p>
        </w:tc>
        <w:tc>
          <w:tcPr>
            <w:tcW w:w="8824" w:type="dxa"/>
            <w:gridSpan w:val="4"/>
          </w:tcPr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1.«От батрака до генерала» - экспозиция, посвященная командиру 15-й гвардейской стрелковой дивизии Е.И. Василенко.</w:t>
            </w:r>
          </w:p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2.«Герои 15-й гвардейской стрелковой дивизии».</w:t>
            </w:r>
          </w:p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 xml:space="preserve">3.Герой Советского Союза М. П. </w:t>
            </w:r>
            <w:proofErr w:type="spellStart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Хвастанцев</w:t>
            </w:r>
            <w:proofErr w:type="spellEnd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4.«Через года, через века – помните…» - экспозиция, посвященная землякам участникам  Великой Отечественной войны.</w:t>
            </w:r>
            <w:proofErr w:type="gramEnd"/>
          </w:p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5.«Труженикам тыла посвящается…»</w:t>
            </w:r>
          </w:p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6.История села Дубовый Овраг.</w:t>
            </w:r>
          </w:p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7.Трудовая биография села.</w:t>
            </w:r>
          </w:p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8.Школа – наш общий дом.</w:t>
            </w:r>
          </w:p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9.Этнографический уголок</w:t>
            </w:r>
          </w:p>
        </w:tc>
      </w:tr>
      <w:tr w:rsidR="00AC0A62" w:rsidRPr="002074FF" w:rsidTr="00AC0A62">
        <w:trPr>
          <w:trHeight w:val="315"/>
        </w:trPr>
        <w:tc>
          <w:tcPr>
            <w:tcW w:w="2057" w:type="dxa"/>
          </w:tcPr>
          <w:p w:rsidR="00AC0A62" w:rsidRPr="002074FF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4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24" w:type="dxa"/>
            <w:gridSpan w:val="4"/>
          </w:tcPr>
          <w:p w:rsidR="00AC0A62" w:rsidRPr="00D42346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A62" w:rsidRPr="00AC0A62" w:rsidTr="00AC0A62">
        <w:trPr>
          <w:trHeight w:val="2123"/>
        </w:trPr>
        <w:tc>
          <w:tcPr>
            <w:tcW w:w="2057" w:type="dxa"/>
          </w:tcPr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Краткая характеристика основного фонда музея</w:t>
            </w:r>
          </w:p>
        </w:tc>
        <w:tc>
          <w:tcPr>
            <w:tcW w:w="8824" w:type="dxa"/>
            <w:gridSpan w:val="4"/>
          </w:tcPr>
          <w:p w:rsidR="00AC0A62" w:rsidRPr="00AC0A62" w:rsidRDefault="00AC0A62" w:rsidP="00AC0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0A62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proofErr w:type="gramStart"/>
            <w:r w:rsidRPr="00AC0A62">
              <w:rPr>
                <w:rFonts w:ascii="Times New Roman" w:hAnsi="Times New Roman" w:cs="Times New Roman"/>
                <w:szCs w:val="28"/>
              </w:rPr>
              <w:t>293 экспоната (все проведены по инвентарной книге, дата первой записи – 9.09.1976, последней – 2.06.2019г), среди которых предметы хозяйственного обихода из дерева, железа, орудия труда, военные экспонаты (фотографии  ветеранов – участников Великой Отечественной войны, каски, фляжка, ордена и медали, письма с воспоминаниями участников Великой Отечественной войны, гильзы, противотанковая пушка 45 калибра, генеральская гимнастерка, материалы, посвященные Героям Советского Союза, части немецкой мины, часть</w:t>
            </w:r>
            <w:proofErr w:type="gramEnd"/>
            <w:r w:rsidRPr="00AC0A6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AC0A62">
              <w:rPr>
                <w:rFonts w:ascii="Times New Roman" w:hAnsi="Times New Roman" w:cs="Times New Roman"/>
                <w:szCs w:val="28"/>
              </w:rPr>
              <w:t>автомата ППШ, немецкий противогазовый контейнер, авиационная бомба, части немецких гранат и т.д.), предметы мебели, одежды, рукоделия, фотографии, документы, атрибуты пионерской, комсомольской, партийной организаций,  книги,  школьные принадлежности, альбомы.</w:t>
            </w:r>
            <w:proofErr w:type="gramEnd"/>
            <w:r w:rsidRPr="00AC0A62">
              <w:rPr>
                <w:rFonts w:ascii="Times New Roman" w:hAnsi="Times New Roman" w:cs="Times New Roman"/>
                <w:szCs w:val="28"/>
              </w:rPr>
              <w:t xml:space="preserve">  Собрана информация о выпускниках школы с 1968 по 2008 гг. Ведется сбор информации  об участниках локальных конфликтов. В музее имеются экспонаты (фотографии, публикации, части напольной плитки из храма Никиты Великомученика).    Все материалы   соответствуют профилю  и теме музея.  Так же в архивах музея и школы находятся множество фотографий, наград, вспомогательных материалов, которые предстоит изучить и ввести в основной фонд музея.</w:t>
            </w:r>
          </w:p>
        </w:tc>
      </w:tr>
    </w:tbl>
    <w:p w:rsidR="00805B66" w:rsidRPr="003B5F69" w:rsidRDefault="00805B66" w:rsidP="00AC0A6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05B66" w:rsidRPr="003B5F69" w:rsidSect="00AC0A62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E1E"/>
    <w:multiLevelType w:val="multilevel"/>
    <w:tmpl w:val="95928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3F2C5F"/>
    <w:multiLevelType w:val="multilevel"/>
    <w:tmpl w:val="0DFAB3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074F6"/>
    <w:multiLevelType w:val="multilevel"/>
    <w:tmpl w:val="9D6E1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536D7"/>
    <w:multiLevelType w:val="multilevel"/>
    <w:tmpl w:val="27D8E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14940"/>
    <w:multiLevelType w:val="multilevel"/>
    <w:tmpl w:val="DBE68A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C3754F1"/>
    <w:multiLevelType w:val="multilevel"/>
    <w:tmpl w:val="E412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4EA75B7"/>
    <w:multiLevelType w:val="multilevel"/>
    <w:tmpl w:val="9BB61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8F2B73"/>
    <w:multiLevelType w:val="multilevel"/>
    <w:tmpl w:val="524E0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D53DA6"/>
    <w:multiLevelType w:val="multilevel"/>
    <w:tmpl w:val="7C44E3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9">
    <w:nsid w:val="66B8648B"/>
    <w:multiLevelType w:val="hybridMultilevel"/>
    <w:tmpl w:val="4F74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B2A9B"/>
    <w:multiLevelType w:val="multilevel"/>
    <w:tmpl w:val="56B2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9A593B"/>
    <w:multiLevelType w:val="multilevel"/>
    <w:tmpl w:val="FDC056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137262"/>
    <w:multiLevelType w:val="multilevel"/>
    <w:tmpl w:val="524E0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F84"/>
    <w:rsid w:val="00007D5B"/>
    <w:rsid w:val="00013343"/>
    <w:rsid w:val="0001673E"/>
    <w:rsid w:val="0004055D"/>
    <w:rsid w:val="00051753"/>
    <w:rsid w:val="00062381"/>
    <w:rsid w:val="00074682"/>
    <w:rsid w:val="000A27B2"/>
    <w:rsid w:val="000C1356"/>
    <w:rsid w:val="000C70B8"/>
    <w:rsid w:val="000D06ED"/>
    <w:rsid w:val="000D4B3A"/>
    <w:rsid w:val="00103A8B"/>
    <w:rsid w:val="00103D49"/>
    <w:rsid w:val="00104517"/>
    <w:rsid w:val="00104AE4"/>
    <w:rsid w:val="00114002"/>
    <w:rsid w:val="0012473A"/>
    <w:rsid w:val="0012513F"/>
    <w:rsid w:val="001262EF"/>
    <w:rsid w:val="00126400"/>
    <w:rsid w:val="00130A2F"/>
    <w:rsid w:val="00140DD8"/>
    <w:rsid w:val="00146383"/>
    <w:rsid w:val="00150661"/>
    <w:rsid w:val="00160352"/>
    <w:rsid w:val="00177F93"/>
    <w:rsid w:val="001B25E2"/>
    <w:rsid w:val="001C1417"/>
    <w:rsid w:val="001E2348"/>
    <w:rsid w:val="001F246F"/>
    <w:rsid w:val="0020264C"/>
    <w:rsid w:val="002048A8"/>
    <w:rsid w:val="0020700C"/>
    <w:rsid w:val="00207150"/>
    <w:rsid w:val="002074FF"/>
    <w:rsid w:val="00214187"/>
    <w:rsid w:val="00221133"/>
    <w:rsid w:val="00253316"/>
    <w:rsid w:val="00254E5B"/>
    <w:rsid w:val="002819B5"/>
    <w:rsid w:val="002907B3"/>
    <w:rsid w:val="002A1F85"/>
    <w:rsid w:val="002A3783"/>
    <w:rsid w:val="002A5A9D"/>
    <w:rsid w:val="002C40B3"/>
    <w:rsid w:val="002C42A9"/>
    <w:rsid w:val="002C5161"/>
    <w:rsid w:val="002D6ECA"/>
    <w:rsid w:val="002E1770"/>
    <w:rsid w:val="002E5024"/>
    <w:rsid w:val="002E7BA5"/>
    <w:rsid w:val="002F2507"/>
    <w:rsid w:val="002F5283"/>
    <w:rsid w:val="002F5C20"/>
    <w:rsid w:val="002F60FA"/>
    <w:rsid w:val="002F7738"/>
    <w:rsid w:val="00306AC9"/>
    <w:rsid w:val="003110A8"/>
    <w:rsid w:val="0032309E"/>
    <w:rsid w:val="00334458"/>
    <w:rsid w:val="00334E37"/>
    <w:rsid w:val="00340FC3"/>
    <w:rsid w:val="003420B2"/>
    <w:rsid w:val="00345411"/>
    <w:rsid w:val="0036378E"/>
    <w:rsid w:val="00373A2D"/>
    <w:rsid w:val="003B5F69"/>
    <w:rsid w:val="003C2145"/>
    <w:rsid w:val="003C45D4"/>
    <w:rsid w:val="003D1D31"/>
    <w:rsid w:val="003E3F98"/>
    <w:rsid w:val="004032D1"/>
    <w:rsid w:val="00415B4D"/>
    <w:rsid w:val="00424EBA"/>
    <w:rsid w:val="004253B2"/>
    <w:rsid w:val="004328F0"/>
    <w:rsid w:val="00433AE3"/>
    <w:rsid w:val="0043526D"/>
    <w:rsid w:val="00442E01"/>
    <w:rsid w:val="00444B56"/>
    <w:rsid w:val="00456739"/>
    <w:rsid w:val="00482A03"/>
    <w:rsid w:val="004A58A5"/>
    <w:rsid w:val="004B1D80"/>
    <w:rsid w:val="004B2AFC"/>
    <w:rsid w:val="004C1986"/>
    <w:rsid w:val="004D0B3A"/>
    <w:rsid w:val="004E540A"/>
    <w:rsid w:val="004F2256"/>
    <w:rsid w:val="004F2638"/>
    <w:rsid w:val="00504765"/>
    <w:rsid w:val="00511321"/>
    <w:rsid w:val="00537F79"/>
    <w:rsid w:val="0056704B"/>
    <w:rsid w:val="00587494"/>
    <w:rsid w:val="00587883"/>
    <w:rsid w:val="00592297"/>
    <w:rsid w:val="00592BB2"/>
    <w:rsid w:val="005A70FE"/>
    <w:rsid w:val="005B0A63"/>
    <w:rsid w:val="005B31AC"/>
    <w:rsid w:val="005B52FB"/>
    <w:rsid w:val="005B716A"/>
    <w:rsid w:val="005C1806"/>
    <w:rsid w:val="005D125B"/>
    <w:rsid w:val="005D52E8"/>
    <w:rsid w:val="005E01DD"/>
    <w:rsid w:val="00611025"/>
    <w:rsid w:val="0062022A"/>
    <w:rsid w:val="00624ABE"/>
    <w:rsid w:val="00627486"/>
    <w:rsid w:val="00633E6E"/>
    <w:rsid w:val="006355AB"/>
    <w:rsid w:val="0065420B"/>
    <w:rsid w:val="00660F86"/>
    <w:rsid w:val="00671CA2"/>
    <w:rsid w:val="00673FED"/>
    <w:rsid w:val="00680719"/>
    <w:rsid w:val="00680DF5"/>
    <w:rsid w:val="00684CE5"/>
    <w:rsid w:val="00693F50"/>
    <w:rsid w:val="006974EA"/>
    <w:rsid w:val="006A3D8F"/>
    <w:rsid w:val="006A7AE9"/>
    <w:rsid w:val="006B39CF"/>
    <w:rsid w:val="006C5951"/>
    <w:rsid w:val="006D5090"/>
    <w:rsid w:val="006D69F2"/>
    <w:rsid w:val="006E15B0"/>
    <w:rsid w:val="006E6EAB"/>
    <w:rsid w:val="006F787D"/>
    <w:rsid w:val="00711A91"/>
    <w:rsid w:val="00720142"/>
    <w:rsid w:val="007261F7"/>
    <w:rsid w:val="0075372E"/>
    <w:rsid w:val="007702BF"/>
    <w:rsid w:val="00775B4E"/>
    <w:rsid w:val="007908BD"/>
    <w:rsid w:val="00795CF5"/>
    <w:rsid w:val="007D0CC4"/>
    <w:rsid w:val="007D233A"/>
    <w:rsid w:val="007D4468"/>
    <w:rsid w:val="007D4BB3"/>
    <w:rsid w:val="007E4D30"/>
    <w:rsid w:val="00800D8C"/>
    <w:rsid w:val="00801912"/>
    <w:rsid w:val="00805B66"/>
    <w:rsid w:val="00806D4E"/>
    <w:rsid w:val="008139DA"/>
    <w:rsid w:val="00820F84"/>
    <w:rsid w:val="00823D50"/>
    <w:rsid w:val="00827606"/>
    <w:rsid w:val="0085692D"/>
    <w:rsid w:val="0086777C"/>
    <w:rsid w:val="00873B9B"/>
    <w:rsid w:val="008946BC"/>
    <w:rsid w:val="00896AE5"/>
    <w:rsid w:val="008A2EDE"/>
    <w:rsid w:val="008B6DB4"/>
    <w:rsid w:val="008C4126"/>
    <w:rsid w:val="008C7E4F"/>
    <w:rsid w:val="008D0CA7"/>
    <w:rsid w:val="008D687D"/>
    <w:rsid w:val="008E5A3F"/>
    <w:rsid w:val="008E6788"/>
    <w:rsid w:val="008F641F"/>
    <w:rsid w:val="00912E33"/>
    <w:rsid w:val="0091619B"/>
    <w:rsid w:val="0096160F"/>
    <w:rsid w:val="00967A88"/>
    <w:rsid w:val="009936B2"/>
    <w:rsid w:val="009949CD"/>
    <w:rsid w:val="009C1B69"/>
    <w:rsid w:val="009D21B9"/>
    <w:rsid w:val="009D3FF5"/>
    <w:rsid w:val="009E1A31"/>
    <w:rsid w:val="009E36DE"/>
    <w:rsid w:val="00A05B90"/>
    <w:rsid w:val="00A07D6F"/>
    <w:rsid w:val="00A13075"/>
    <w:rsid w:val="00A135D1"/>
    <w:rsid w:val="00A16318"/>
    <w:rsid w:val="00A437D6"/>
    <w:rsid w:val="00A4619F"/>
    <w:rsid w:val="00A54CCE"/>
    <w:rsid w:val="00A84A6B"/>
    <w:rsid w:val="00A96B02"/>
    <w:rsid w:val="00AB65D9"/>
    <w:rsid w:val="00AC0A62"/>
    <w:rsid w:val="00AC6BD1"/>
    <w:rsid w:val="00AD4649"/>
    <w:rsid w:val="00AD59AA"/>
    <w:rsid w:val="00B00394"/>
    <w:rsid w:val="00B06147"/>
    <w:rsid w:val="00B3059C"/>
    <w:rsid w:val="00B33393"/>
    <w:rsid w:val="00B43178"/>
    <w:rsid w:val="00B43EB0"/>
    <w:rsid w:val="00B440BD"/>
    <w:rsid w:val="00B46017"/>
    <w:rsid w:val="00B52967"/>
    <w:rsid w:val="00B53E5F"/>
    <w:rsid w:val="00B54347"/>
    <w:rsid w:val="00B60533"/>
    <w:rsid w:val="00B66221"/>
    <w:rsid w:val="00B72DB5"/>
    <w:rsid w:val="00B85BDA"/>
    <w:rsid w:val="00B9771C"/>
    <w:rsid w:val="00BB4D2A"/>
    <w:rsid w:val="00BB5C43"/>
    <w:rsid w:val="00BC1139"/>
    <w:rsid w:val="00BC537F"/>
    <w:rsid w:val="00BC6F47"/>
    <w:rsid w:val="00BC7445"/>
    <w:rsid w:val="00BD7C49"/>
    <w:rsid w:val="00BD7C5F"/>
    <w:rsid w:val="00BE2B4C"/>
    <w:rsid w:val="00BE595A"/>
    <w:rsid w:val="00C31DD3"/>
    <w:rsid w:val="00C340AF"/>
    <w:rsid w:val="00C36377"/>
    <w:rsid w:val="00C37FB4"/>
    <w:rsid w:val="00C42BF5"/>
    <w:rsid w:val="00C61D32"/>
    <w:rsid w:val="00C64DC2"/>
    <w:rsid w:val="00C67ED4"/>
    <w:rsid w:val="00C718A2"/>
    <w:rsid w:val="00C777F7"/>
    <w:rsid w:val="00C903CE"/>
    <w:rsid w:val="00C91706"/>
    <w:rsid w:val="00C948B3"/>
    <w:rsid w:val="00CA2543"/>
    <w:rsid w:val="00CA27A0"/>
    <w:rsid w:val="00CA2F41"/>
    <w:rsid w:val="00CA6722"/>
    <w:rsid w:val="00CB0826"/>
    <w:rsid w:val="00CB7FFE"/>
    <w:rsid w:val="00CC4559"/>
    <w:rsid w:val="00CC614B"/>
    <w:rsid w:val="00CC6CB5"/>
    <w:rsid w:val="00CE0E82"/>
    <w:rsid w:val="00CF42CB"/>
    <w:rsid w:val="00D142FF"/>
    <w:rsid w:val="00D20673"/>
    <w:rsid w:val="00D33086"/>
    <w:rsid w:val="00D42346"/>
    <w:rsid w:val="00D461CB"/>
    <w:rsid w:val="00D50147"/>
    <w:rsid w:val="00D55B46"/>
    <w:rsid w:val="00D57E81"/>
    <w:rsid w:val="00D90A98"/>
    <w:rsid w:val="00DA49E3"/>
    <w:rsid w:val="00DA4A93"/>
    <w:rsid w:val="00DB4A7C"/>
    <w:rsid w:val="00DC2A0E"/>
    <w:rsid w:val="00DD1344"/>
    <w:rsid w:val="00DD733E"/>
    <w:rsid w:val="00DE344A"/>
    <w:rsid w:val="00E02B29"/>
    <w:rsid w:val="00E07E46"/>
    <w:rsid w:val="00E369FB"/>
    <w:rsid w:val="00E41756"/>
    <w:rsid w:val="00E53A57"/>
    <w:rsid w:val="00E560EE"/>
    <w:rsid w:val="00E56E34"/>
    <w:rsid w:val="00E70E3B"/>
    <w:rsid w:val="00E904A0"/>
    <w:rsid w:val="00E955C9"/>
    <w:rsid w:val="00EA4AD6"/>
    <w:rsid w:val="00EA4D33"/>
    <w:rsid w:val="00EB729D"/>
    <w:rsid w:val="00EC0903"/>
    <w:rsid w:val="00EC15FC"/>
    <w:rsid w:val="00EC741A"/>
    <w:rsid w:val="00ED5241"/>
    <w:rsid w:val="00EF179D"/>
    <w:rsid w:val="00EF6056"/>
    <w:rsid w:val="00EF71E8"/>
    <w:rsid w:val="00F02BC8"/>
    <w:rsid w:val="00F02C86"/>
    <w:rsid w:val="00F04A5F"/>
    <w:rsid w:val="00F07C41"/>
    <w:rsid w:val="00F150F6"/>
    <w:rsid w:val="00F21B48"/>
    <w:rsid w:val="00F34643"/>
    <w:rsid w:val="00F40E69"/>
    <w:rsid w:val="00F67F43"/>
    <w:rsid w:val="00F71C20"/>
    <w:rsid w:val="00FA0F92"/>
    <w:rsid w:val="00FB2C16"/>
    <w:rsid w:val="00FB7611"/>
    <w:rsid w:val="00FD5D59"/>
    <w:rsid w:val="00FD79DC"/>
    <w:rsid w:val="00FE1C2E"/>
    <w:rsid w:val="00FE2ECC"/>
    <w:rsid w:val="00FE4B98"/>
    <w:rsid w:val="00F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46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7883"/>
    <w:pPr>
      <w:ind w:left="720"/>
    </w:pPr>
  </w:style>
  <w:style w:type="character" w:styleId="a4">
    <w:name w:val="Hyperlink"/>
    <w:uiPriority w:val="99"/>
    <w:rsid w:val="0085692D"/>
    <w:rPr>
      <w:color w:val="auto"/>
      <w:u w:val="single"/>
    </w:rPr>
  </w:style>
  <w:style w:type="character" w:customStyle="1" w:styleId="1">
    <w:name w:val="Неразрешенное упоминание1"/>
    <w:uiPriority w:val="99"/>
    <w:semiHidden/>
    <w:rsid w:val="0085692D"/>
    <w:rPr>
      <w:color w:val="auto"/>
      <w:shd w:val="clear" w:color="auto" w:fill="auto"/>
    </w:rPr>
  </w:style>
  <w:style w:type="table" w:styleId="a5">
    <w:name w:val="Table Grid"/>
    <w:basedOn w:val="a1"/>
    <w:uiPriority w:val="99"/>
    <w:rsid w:val="00FD5D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rsid w:val="00795CF5"/>
    <w:rPr>
      <w:color w:val="auto"/>
      <w:shd w:val="clear" w:color="auto" w:fill="auto"/>
    </w:rPr>
  </w:style>
  <w:style w:type="paragraph" w:styleId="a6">
    <w:name w:val="Balloon Text"/>
    <w:basedOn w:val="a"/>
    <w:link w:val="a7"/>
    <w:uiPriority w:val="99"/>
    <w:semiHidden/>
    <w:rsid w:val="00EC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C15FC"/>
    <w:rPr>
      <w:rFonts w:ascii="Tahoma" w:hAnsi="Tahoma" w:cs="Tahoma"/>
      <w:sz w:val="16"/>
      <w:szCs w:val="16"/>
    </w:rPr>
  </w:style>
  <w:style w:type="character" w:styleId="a8">
    <w:name w:val="FollowedHyperlink"/>
    <w:uiPriority w:val="99"/>
    <w:semiHidden/>
    <w:rsid w:val="008139DA"/>
    <w:rPr>
      <w:color w:val="auto"/>
      <w:u w:val="single"/>
    </w:rPr>
  </w:style>
  <w:style w:type="paragraph" w:customStyle="1" w:styleId="paragraph">
    <w:name w:val="paragraph"/>
    <w:basedOn w:val="a"/>
    <w:uiPriority w:val="99"/>
    <w:rsid w:val="00DA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uiPriority w:val="99"/>
    <w:rsid w:val="00DA4A93"/>
  </w:style>
  <w:style w:type="character" w:customStyle="1" w:styleId="eop">
    <w:name w:val="eop"/>
    <w:basedOn w:val="a0"/>
    <w:uiPriority w:val="99"/>
    <w:rsid w:val="00DA4A93"/>
  </w:style>
  <w:style w:type="character" w:customStyle="1" w:styleId="contextualspellingandgrammarerror">
    <w:name w:val="contextualspellingandgrammarerror"/>
    <w:basedOn w:val="a0"/>
    <w:uiPriority w:val="99"/>
    <w:rsid w:val="00DA4A93"/>
  </w:style>
  <w:style w:type="character" w:customStyle="1" w:styleId="tabchar">
    <w:name w:val="tabchar"/>
    <w:basedOn w:val="a0"/>
    <w:uiPriority w:val="99"/>
    <w:rsid w:val="00DA4A93"/>
  </w:style>
  <w:style w:type="paragraph" w:styleId="a9">
    <w:name w:val="No Spacing"/>
    <w:uiPriority w:val="99"/>
    <w:qFormat/>
    <w:rsid w:val="00D57E81"/>
    <w:rPr>
      <w:rFonts w:cs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FE2ECC"/>
    <w:pPr>
      <w:spacing w:after="120" w:line="276" w:lineRule="auto"/>
      <w:ind w:left="283"/>
    </w:pPr>
    <w:rPr>
      <w:rFonts w:eastAsia="Times New Roman"/>
      <w:lang w:eastAsia="ru-RU"/>
    </w:rPr>
  </w:style>
  <w:style w:type="character" w:customStyle="1" w:styleId="ab">
    <w:name w:val="Основной текст с отступом Знак"/>
    <w:link w:val="aa"/>
    <w:uiPriority w:val="99"/>
    <w:locked/>
    <w:rsid w:val="00FE2ECC"/>
    <w:rPr>
      <w:rFonts w:ascii="Calibri" w:hAnsi="Calibri" w:cs="Calibri"/>
      <w:lang w:eastAsia="ru-RU"/>
    </w:rPr>
  </w:style>
  <w:style w:type="paragraph" w:customStyle="1" w:styleId="ac">
    <w:name w:val="Содержимое таблицы"/>
    <w:basedOn w:val="a"/>
    <w:uiPriority w:val="99"/>
    <w:rsid w:val="00FE2ECC"/>
    <w:pPr>
      <w:widowControl w:val="0"/>
      <w:suppressLineNumbers/>
      <w:suppressAutoHyphens/>
      <w:spacing w:after="0" w:line="240" w:lineRule="auto"/>
    </w:pPr>
    <w:rPr>
      <w:kern w:val="1"/>
      <w:sz w:val="24"/>
      <w:szCs w:val="24"/>
      <w:lang w:eastAsia="hi-IN" w:bidi="hi-IN"/>
    </w:rPr>
  </w:style>
  <w:style w:type="paragraph" w:styleId="ad">
    <w:name w:val="Normal (Web)"/>
    <w:basedOn w:val="a"/>
    <w:uiPriority w:val="99"/>
    <w:rsid w:val="00BC6F4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0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6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5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Пользователь</dc:creator>
  <cp:keywords/>
  <dc:description/>
  <cp:lastModifiedBy>Админ</cp:lastModifiedBy>
  <cp:revision>14</cp:revision>
  <cp:lastPrinted>2022-04-26T15:04:00Z</cp:lastPrinted>
  <dcterms:created xsi:type="dcterms:W3CDTF">2022-04-26T13:42:00Z</dcterms:created>
  <dcterms:modified xsi:type="dcterms:W3CDTF">2024-10-15T06:29:00Z</dcterms:modified>
</cp:coreProperties>
</file>